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F0A2" w14:textId="77777777" w:rsidR="006365F0" w:rsidRPr="00FD6795" w:rsidRDefault="006365F0" w:rsidP="00FD6795">
      <w:pPr>
        <w:spacing w:before="4" w:line="235" w:lineRule="exact"/>
        <w:ind w:left="144"/>
        <w:jc w:val="both"/>
        <w:textAlignment w:val="baseline"/>
        <w:rPr>
          <w:rFonts w:eastAsia="Times New Roman"/>
          <w:b/>
          <w:color w:val="000000"/>
          <w:spacing w:val="14"/>
        </w:rPr>
      </w:pPr>
      <w:r w:rsidRPr="00FD6795">
        <w:rPr>
          <w:rFonts w:eastAsia="Times New Roman"/>
          <w:b/>
          <w:color w:val="000000"/>
          <w:spacing w:val="14"/>
        </w:rPr>
        <w:t>ZEIFMANS LLP</w:t>
      </w:r>
    </w:p>
    <w:p w14:paraId="5717F0A3" w14:textId="77777777" w:rsidR="0024071E" w:rsidRPr="00FD6795" w:rsidRDefault="00FB3423" w:rsidP="00FD6795">
      <w:pPr>
        <w:spacing w:before="4" w:line="235" w:lineRule="exact"/>
        <w:ind w:left="144"/>
        <w:jc w:val="both"/>
        <w:textAlignment w:val="baseline"/>
        <w:rPr>
          <w:rFonts w:eastAsia="Times New Roman"/>
          <w:b/>
          <w:color w:val="000000"/>
          <w:spacing w:val="14"/>
        </w:rPr>
      </w:pPr>
      <w:r w:rsidRPr="00FD6795">
        <w:rPr>
          <w:rFonts w:eastAsia="Times New Roman"/>
          <w:b/>
          <w:color w:val="000000"/>
          <w:spacing w:val="14"/>
        </w:rPr>
        <w:t>ESTATE TRUSTEE DURING LITIGATION</w:t>
      </w:r>
      <w:r w:rsidR="0018418D" w:rsidRPr="00FD6795">
        <w:rPr>
          <w:rFonts w:eastAsia="Times New Roman"/>
          <w:b/>
          <w:color w:val="000000"/>
          <w:spacing w:val="14"/>
        </w:rPr>
        <w:t xml:space="preserve"> </w:t>
      </w:r>
      <w:r w:rsidR="00EC367B" w:rsidRPr="00FD6795">
        <w:rPr>
          <w:rFonts w:eastAsia="Times New Roman"/>
          <w:b/>
          <w:color w:val="000000"/>
          <w:spacing w:val="14"/>
        </w:rPr>
        <w:t>(“ETDL”)</w:t>
      </w:r>
    </w:p>
    <w:p w14:paraId="5717F0A4" w14:textId="77777777" w:rsidR="0024071E" w:rsidRPr="00FD6795" w:rsidRDefault="00EC367B" w:rsidP="00FD6795">
      <w:pPr>
        <w:spacing w:before="449" w:line="211" w:lineRule="exact"/>
        <w:ind w:left="144" w:right="216"/>
        <w:jc w:val="both"/>
        <w:textAlignment w:val="baseline"/>
        <w:rPr>
          <w:rFonts w:eastAsia="Times New Roman"/>
          <w:color w:val="000000"/>
          <w:spacing w:val="2"/>
        </w:rPr>
      </w:pPr>
      <w:r w:rsidRPr="00FD6795">
        <w:rPr>
          <w:rFonts w:eastAsia="Times New Roman"/>
          <w:color w:val="000000"/>
          <w:spacing w:val="2"/>
        </w:rPr>
        <w:t>An ETDL is a relatively recently introdu</w:t>
      </w:r>
      <w:r w:rsidR="00BE1355" w:rsidRPr="00FD6795">
        <w:rPr>
          <w:rFonts w:eastAsia="Times New Roman"/>
          <w:color w:val="000000"/>
          <w:spacing w:val="2"/>
        </w:rPr>
        <w:t xml:space="preserve">ced concept of a Court Officer </w:t>
      </w:r>
      <w:r w:rsidRPr="00FD6795">
        <w:rPr>
          <w:rFonts w:eastAsia="Times New Roman"/>
          <w:color w:val="000000"/>
          <w:spacing w:val="2"/>
        </w:rPr>
        <w:t>where estate litigation is ongoing and likely to take some time to determine entitlement to estate assets.</w:t>
      </w:r>
      <w:r w:rsidR="00BE1355" w:rsidRPr="00FD6795">
        <w:rPr>
          <w:rFonts w:eastAsia="Times New Roman"/>
          <w:color w:val="000000"/>
          <w:spacing w:val="2"/>
        </w:rPr>
        <w:t xml:space="preserve">  </w:t>
      </w:r>
      <w:r w:rsidRPr="00FD6795">
        <w:rPr>
          <w:rFonts w:eastAsia="Times New Roman"/>
          <w:color w:val="000000"/>
          <w:spacing w:val="2"/>
        </w:rPr>
        <w:t>In addition</w:t>
      </w:r>
      <w:r w:rsidR="00BE1355" w:rsidRPr="00FD6795">
        <w:rPr>
          <w:rFonts w:eastAsia="Times New Roman"/>
          <w:color w:val="000000"/>
          <w:spacing w:val="2"/>
        </w:rPr>
        <w:t>,</w:t>
      </w:r>
      <w:r w:rsidRPr="00FD6795">
        <w:rPr>
          <w:rFonts w:eastAsia="Times New Roman"/>
          <w:color w:val="000000"/>
          <w:spacing w:val="2"/>
        </w:rPr>
        <w:t xml:space="preserve"> an ETDL can be used to undertake a review of conduct whereby asset</w:t>
      </w:r>
      <w:r w:rsidR="00BE1355" w:rsidRPr="00FD6795">
        <w:rPr>
          <w:rFonts w:eastAsia="Times New Roman"/>
          <w:color w:val="000000"/>
          <w:spacing w:val="2"/>
        </w:rPr>
        <w:t>s have already been distributed</w:t>
      </w:r>
      <w:r w:rsidRPr="00FD6795">
        <w:rPr>
          <w:rFonts w:eastAsia="Times New Roman"/>
          <w:color w:val="000000"/>
          <w:spacing w:val="2"/>
        </w:rPr>
        <w:t>.</w:t>
      </w:r>
      <w:r w:rsidR="00BE1355" w:rsidRPr="00FD6795">
        <w:rPr>
          <w:rFonts w:eastAsia="Times New Roman"/>
          <w:color w:val="000000"/>
          <w:spacing w:val="2"/>
        </w:rPr>
        <w:t xml:space="preserve">  </w:t>
      </w:r>
      <w:r w:rsidRPr="00FD6795">
        <w:rPr>
          <w:rFonts w:eastAsia="Times New Roman"/>
          <w:color w:val="000000"/>
          <w:spacing w:val="2"/>
        </w:rPr>
        <w:t xml:space="preserve">In </w:t>
      </w:r>
      <w:r w:rsidR="0018418D" w:rsidRPr="00FD6795">
        <w:rPr>
          <w:rFonts w:eastAsia="Times New Roman"/>
          <w:color w:val="000000"/>
          <w:spacing w:val="2"/>
        </w:rPr>
        <w:t>general,</w:t>
      </w:r>
      <w:r w:rsidRPr="00FD6795">
        <w:rPr>
          <w:rFonts w:eastAsia="Times New Roman"/>
          <w:color w:val="000000"/>
          <w:spacing w:val="2"/>
        </w:rPr>
        <w:t xml:space="preserve"> the powers and duties of the ETDL are as set out in the Court Order appointing it.</w:t>
      </w:r>
      <w:r w:rsidR="00BE1355" w:rsidRPr="00FD6795">
        <w:rPr>
          <w:rFonts w:eastAsia="Times New Roman"/>
          <w:color w:val="000000"/>
          <w:spacing w:val="2"/>
        </w:rPr>
        <w:t xml:space="preserve">  </w:t>
      </w:r>
      <w:r w:rsidR="00FB3423" w:rsidRPr="00FD6795">
        <w:rPr>
          <w:rFonts w:eastAsia="Times New Roman"/>
          <w:color w:val="000000"/>
          <w:spacing w:val="2"/>
        </w:rPr>
        <w:t xml:space="preserve">As an officer of the </w:t>
      </w:r>
      <w:r w:rsidR="00BE1355" w:rsidRPr="00FD6795">
        <w:rPr>
          <w:rFonts w:eastAsia="Times New Roman"/>
          <w:color w:val="000000"/>
          <w:spacing w:val="2"/>
        </w:rPr>
        <w:t>C</w:t>
      </w:r>
      <w:r w:rsidR="00FB3423" w:rsidRPr="00FD6795">
        <w:rPr>
          <w:rFonts w:eastAsia="Times New Roman"/>
          <w:color w:val="000000"/>
          <w:spacing w:val="2"/>
        </w:rPr>
        <w:t>ourt, the ETDL acts as an impart</w:t>
      </w:r>
      <w:r w:rsidR="00BE1355" w:rsidRPr="00FD6795">
        <w:rPr>
          <w:rFonts w:eastAsia="Times New Roman"/>
          <w:color w:val="000000"/>
          <w:spacing w:val="2"/>
        </w:rPr>
        <w:t>ial executor-</w:t>
      </w:r>
      <w:r w:rsidR="00FB3423" w:rsidRPr="00FD6795">
        <w:rPr>
          <w:rFonts w:eastAsia="Times New Roman"/>
          <w:color w:val="000000"/>
          <w:spacing w:val="2"/>
        </w:rPr>
        <w:t xml:space="preserve">as a neutral and independent third party with respect to all the parties concerned. </w:t>
      </w:r>
      <w:r w:rsidR="00D824CE" w:rsidRPr="00FD6795">
        <w:rPr>
          <w:rFonts w:eastAsia="Times New Roman"/>
          <w:color w:val="000000"/>
          <w:spacing w:val="2"/>
        </w:rPr>
        <w:t xml:space="preserve">Asset recovery and preservation are a key component of those duties while </w:t>
      </w:r>
      <w:r w:rsidR="00CD6116" w:rsidRPr="00FD6795">
        <w:rPr>
          <w:rFonts w:eastAsia="Times New Roman"/>
          <w:color w:val="000000"/>
          <w:spacing w:val="2"/>
        </w:rPr>
        <w:t>a</w:t>
      </w:r>
      <w:r w:rsidR="00FB3423" w:rsidRPr="00FD6795">
        <w:rPr>
          <w:rFonts w:eastAsia="Times New Roman"/>
          <w:color w:val="000000"/>
          <w:spacing w:val="2"/>
        </w:rPr>
        <w:t>cting in both a fiduciary and an executory capacity</w:t>
      </w:r>
      <w:r w:rsidR="00CD6116" w:rsidRPr="00FD6795">
        <w:rPr>
          <w:rFonts w:eastAsia="Times New Roman"/>
          <w:color w:val="000000"/>
          <w:spacing w:val="2"/>
        </w:rPr>
        <w:t>.</w:t>
      </w:r>
      <w:r w:rsidR="00BE1355" w:rsidRPr="00FD6795">
        <w:rPr>
          <w:rFonts w:eastAsia="Times New Roman"/>
          <w:color w:val="000000"/>
          <w:spacing w:val="2"/>
        </w:rPr>
        <w:t xml:space="preserve">  </w:t>
      </w:r>
      <w:r w:rsidR="00CD6116" w:rsidRPr="00FD6795">
        <w:rPr>
          <w:rFonts w:eastAsia="Times New Roman"/>
          <w:color w:val="000000"/>
          <w:spacing w:val="2"/>
        </w:rPr>
        <w:t>The Court can extend those powers to conducting an investigation of the estate records,</w:t>
      </w:r>
      <w:r w:rsidR="00BE1355" w:rsidRPr="00FD6795">
        <w:rPr>
          <w:rFonts w:eastAsia="Times New Roman"/>
          <w:color w:val="000000"/>
          <w:spacing w:val="2"/>
        </w:rPr>
        <w:t xml:space="preserve"> </w:t>
      </w:r>
      <w:r w:rsidR="00CD6116" w:rsidRPr="00FD6795">
        <w:rPr>
          <w:rFonts w:eastAsia="Times New Roman"/>
          <w:color w:val="000000"/>
          <w:spacing w:val="2"/>
        </w:rPr>
        <w:t>transactions undertaken as well as order the ETDL to sell estate assets</w:t>
      </w:r>
      <w:r w:rsidR="00BE1355" w:rsidRPr="00FD6795">
        <w:rPr>
          <w:rFonts w:eastAsia="Times New Roman"/>
          <w:color w:val="000000"/>
          <w:spacing w:val="2"/>
        </w:rPr>
        <w:t>.</w:t>
      </w:r>
    </w:p>
    <w:p w14:paraId="5717F0A5" w14:textId="77777777" w:rsidR="0024071E" w:rsidRPr="00FD6795" w:rsidRDefault="00FB3423" w:rsidP="00FD6795">
      <w:pPr>
        <w:spacing w:before="194" w:line="220" w:lineRule="exact"/>
        <w:ind w:left="144" w:right="144"/>
        <w:jc w:val="both"/>
        <w:textAlignment w:val="baseline"/>
        <w:rPr>
          <w:rFonts w:eastAsia="Times New Roman"/>
          <w:color w:val="000000"/>
        </w:rPr>
      </w:pPr>
      <w:r w:rsidRPr="00FD6795">
        <w:rPr>
          <w:rFonts w:eastAsia="Times New Roman"/>
          <w:color w:val="000000"/>
        </w:rPr>
        <w:t>An ETDL</w:t>
      </w:r>
      <w:r w:rsidR="00BE1355" w:rsidRPr="00FD6795">
        <w:rPr>
          <w:rFonts w:eastAsia="Times New Roman"/>
          <w:color w:val="000000"/>
        </w:rPr>
        <w:t xml:space="preserve"> </w:t>
      </w:r>
      <w:r w:rsidR="00CD6116" w:rsidRPr="00FD6795">
        <w:rPr>
          <w:rFonts w:eastAsia="Times New Roman"/>
          <w:color w:val="000000"/>
        </w:rPr>
        <w:t>will often act as an intermediary with a few to facilitate discussion amongst opposing parties with a view to effect a settlement or a way forward in a cost effective manner.</w:t>
      </w:r>
      <w:r w:rsidR="00BE1355" w:rsidRPr="00FD6795">
        <w:rPr>
          <w:rFonts w:eastAsia="Times New Roman"/>
          <w:color w:val="000000"/>
        </w:rPr>
        <w:t xml:space="preserve">  </w:t>
      </w:r>
      <w:r w:rsidR="00CD6116" w:rsidRPr="00FD6795">
        <w:rPr>
          <w:rFonts w:eastAsia="Times New Roman"/>
          <w:color w:val="000000"/>
        </w:rPr>
        <w:t>Fundamentally</w:t>
      </w:r>
      <w:r w:rsidR="00BE1355" w:rsidRPr="00FD6795">
        <w:rPr>
          <w:rFonts w:eastAsia="Times New Roman"/>
          <w:color w:val="000000"/>
        </w:rPr>
        <w:t>,</w:t>
      </w:r>
      <w:r w:rsidR="00CD6116" w:rsidRPr="00FD6795">
        <w:rPr>
          <w:rFonts w:eastAsia="Times New Roman"/>
          <w:color w:val="000000"/>
        </w:rPr>
        <w:t xml:space="preserve"> the assets must be preserved by a neutral impartial party to ensure they are not dissipated until matters come to a final resolution.</w:t>
      </w:r>
    </w:p>
    <w:p w14:paraId="5717F0A6" w14:textId="77777777" w:rsidR="0024071E" w:rsidRPr="00FD6795" w:rsidRDefault="00FB3423" w:rsidP="00FD6795">
      <w:pPr>
        <w:spacing w:before="201" w:line="220" w:lineRule="exact"/>
        <w:ind w:left="144"/>
        <w:jc w:val="both"/>
        <w:textAlignment w:val="baseline"/>
        <w:rPr>
          <w:rFonts w:eastAsia="Times New Roman"/>
          <w:color w:val="000000"/>
          <w:spacing w:val="-1"/>
        </w:rPr>
      </w:pPr>
      <w:r w:rsidRPr="00FD6795">
        <w:rPr>
          <w:rFonts w:eastAsia="Times New Roman"/>
          <w:color w:val="000000"/>
          <w:spacing w:val="-1"/>
        </w:rPr>
        <w:t>The ETDL's duties generally include:</w:t>
      </w:r>
    </w:p>
    <w:p w14:paraId="5717F0A7" w14:textId="77777777" w:rsidR="0024071E" w:rsidRPr="00FD6795" w:rsidRDefault="00FB3423" w:rsidP="00FD6795">
      <w:pPr>
        <w:numPr>
          <w:ilvl w:val="0"/>
          <w:numId w:val="1"/>
        </w:numPr>
        <w:tabs>
          <w:tab w:val="clear" w:pos="360"/>
          <w:tab w:val="left" w:pos="864"/>
        </w:tabs>
        <w:spacing w:before="215" w:line="220" w:lineRule="exact"/>
        <w:ind w:left="864" w:hanging="360"/>
        <w:jc w:val="both"/>
        <w:textAlignment w:val="baseline"/>
        <w:rPr>
          <w:rFonts w:eastAsia="Times New Roman"/>
          <w:color w:val="000000"/>
          <w:spacing w:val="2"/>
        </w:rPr>
      </w:pPr>
      <w:r w:rsidRPr="00FD6795">
        <w:rPr>
          <w:rFonts w:eastAsia="Times New Roman"/>
          <w:color w:val="000000"/>
          <w:spacing w:val="2"/>
        </w:rPr>
        <w:t>Determining the value of the estate's assets and liabilities</w:t>
      </w:r>
    </w:p>
    <w:p w14:paraId="5717F0A8" w14:textId="77777777" w:rsidR="0024071E" w:rsidRPr="00FD6795" w:rsidRDefault="00FB3423" w:rsidP="00FD6795">
      <w:pPr>
        <w:numPr>
          <w:ilvl w:val="0"/>
          <w:numId w:val="1"/>
        </w:numPr>
        <w:tabs>
          <w:tab w:val="clear" w:pos="360"/>
          <w:tab w:val="left" w:pos="864"/>
        </w:tabs>
        <w:spacing w:before="6" w:line="220" w:lineRule="exact"/>
        <w:ind w:left="864" w:hanging="360"/>
        <w:jc w:val="both"/>
        <w:textAlignment w:val="baseline"/>
        <w:rPr>
          <w:rFonts w:eastAsia="Times New Roman"/>
          <w:color w:val="000000"/>
          <w:spacing w:val="2"/>
        </w:rPr>
      </w:pPr>
      <w:r w:rsidRPr="00FD6795">
        <w:rPr>
          <w:rFonts w:eastAsia="Times New Roman"/>
          <w:color w:val="000000"/>
          <w:spacing w:val="2"/>
        </w:rPr>
        <w:t>Protecting and safeguarding the estate's assets</w:t>
      </w:r>
    </w:p>
    <w:p w14:paraId="5717F0A9" w14:textId="77777777" w:rsidR="0024071E" w:rsidRPr="00FD6795" w:rsidRDefault="00FB3423" w:rsidP="00FD6795">
      <w:pPr>
        <w:numPr>
          <w:ilvl w:val="0"/>
          <w:numId w:val="1"/>
        </w:numPr>
        <w:tabs>
          <w:tab w:val="clear" w:pos="360"/>
          <w:tab w:val="left" w:pos="864"/>
        </w:tabs>
        <w:spacing w:before="3" w:line="220" w:lineRule="exact"/>
        <w:ind w:left="864" w:right="216" w:hanging="360"/>
        <w:jc w:val="both"/>
        <w:textAlignment w:val="baseline"/>
        <w:rPr>
          <w:rFonts w:eastAsia="Times New Roman"/>
          <w:color w:val="000000"/>
        </w:rPr>
      </w:pPr>
      <w:r w:rsidRPr="00FD6795">
        <w:rPr>
          <w:rFonts w:eastAsia="Times New Roman"/>
          <w:color w:val="000000"/>
        </w:rPr>
        <w:t>Preserving and, if necessary, tracing any assets discovered to be missing</w:t>
      </w:r>
    </w:p>
    <w:p w14:paraId="5717F0AA" w14:textId="77777777" w:rsidR="0024071E" w:rsidRPr="00FD6795" w:rsidRDefault="00FB3423" w:rsidP="00FD6795">
      <w:pPr>
        <w:numPr>
          <w:ilvl w:val="0"/>
          <w:numId w:val="1"/>
        </w:numPr>
        <w:tabs>
          <w:tab w:val="clear" w:pos="360"/>
          <w:tab w:val="left" w:pos="864"/>
        </w:tabs>
        <w:spacing w:before="3" w:line="220" w:lineRule="exact"/>
        <w:ind w:left="864" w:hanging="360"/>
        <w:jc w:val="both"/>
        <w:textAlignment w:val="baseline"/>
        <w:rPr>
          <w:rFonts w:eastAsia="Times New Roman"/>
          <w:color w:val="000000"/>
          <w:spacing w:val="3"/>
        </w:rPr>
      </w:pPr>
      <w:r w:rsidRPr="00FD6795">
        <w:rPr>
          <w:rFonts w:eastAsia="Times New Roman"/>
          <w:color w:val="000000"/>
          <w:spacing w:val="3"/>
        </w:rPr>
        <w:t>Maintaining separate trust accounts</w:t>
      </w:r>
    </w:p>
    <w:p w14:paraId="5717F0AB" w14:textId="77777777" w:rsidR="0024071E" w:rsidRPr="00FD6795" w:rsidRDefault="00FB3423" w:rsidP="00FD6795">
      <w:pPr>
        <w:numPr>
          <w:ilvl w:val="0"/>
          <w:numId w:val="1"/>
        </w:numPr>
        <w:tabs>
          <w:tab w:val="clear" w:pos="360"/>
          <w:tab w:val="left" w:pos="864"/>
        </w:tabs>
        <w:spacing w:before="4" w:line="220" w:lineRule="exact"/>
        <w:ind w:left="864" w:right="1224" w:hanging="360"/>
        <w:jc w:val="both"/>
        <w:textAlignment w:val="baseline"/>
        <w:rPr>
          <w:rFonts w:eastAsia="Times New Roman"/>
          <w:color w:val="000000"/>
        </w:rPr>
      </w:pPr>
      <w:r w:rsidRPr="00FD6795">
        <w:rPr>
          <w:rFonts w:eastAsia="Times New Roman"/>
          <w:color w:val="000000"/>
        </w:rPr>
        <w:t>Reviewing and handling protective and other disbursements</w:t>
      </w:r>
    </w:p>
    <w:p w14:paraId="5717F0AC" w14:textId="77777777" w:rsidR="0024071E" w:rsidRPr="00FD6795" w:rsidRDefault="00FB3423" w:rsidP="00FD6795">
      <w:pPr>
        <w:numPr>
          <w:ilvl w:val="0"/>
          <w:numId w:val="1"/>
        </w:numPr>
        <w:tabs>
          <w:tab w:val="clear" w:pos="360"/>
          <w:tab w:val="left" w:pos="864"/>
        </w:tabs>
        <w:spacing w:before="3" w:line="220" w:lineRule="exact"/>
        <w:ind w:left="864" w:hanging="360"/>
        <w:jc w:val="both"/>
        <w:textAlignment w:val="baseline"/>
        <w:rPr>
          <w:rFonts w:eastAsia="Times New Roman"/>
          <w:color w:val="000000"/>
          <w:spacing w:val="1"/>
        </w:rPr>
      </w:pPr>
      <w:r w:rsidRPr="00FD6795">
        <w:rPr>
          <w:rFonts w:eastAsia="Times New Roman"/>
          <w:color w:val="000000"/>
          <w:spacing w:val="1"/>
        </w:rPr>
        <w:t>Ascertaining, defending, settling and paying any debts</w:t>
      </w:r>
    </w:p>
    <w:p w14:paraId="5717F0AD" w14:textId="77777777" w:rsidR="0024071E" w:rsidRPr="00FD6795" w:rsidRDefault="00FB3423" w:rsidP="00FD6795">
      <w:pPr>
        <w:numPr>
          <w:ilvl w:val="0"/>
          <w:numId w:val="1"/>
        </w:numPr>
        <w:tabs>
          <w:tab w:val="clear" w:pos="360"/>
          <w:tab w:val="left" w:pos="864"/>
        </w:tabs>
        <w:spacing w:line="219" w:lineRule="exact"/>
        <w:ind w:left="864" w:hanging="360"/>
        <w:jc w:val="both"/>
        <w:textAlignment w:val="baseline"/>
        <w:rPr>
          <w:rFonts w:eastAsia="Times New Roman"/>
          <w:color w:val="000000"/>
          <w:spacing w:val="2"/>
        </w:rPr>
      </w:pPr>
      <w:r w:rsidRPr="00FD6795">
        <w:rPr>
          <w:rFonts w:eastAsia="Times New Roman"/>
          <w:color w:val="000000"/>
          <w:spacing w:val="2"/>
        </w:rPr>
        <w:t>Filing income tax returns and conducting tax planning</w:t>
      </w:r>
    </w:p>
    <w:p w14:paraId="5717F0AE" w14:textId="77777777" w:rsidR="0024071E" w:rsidRPr="00FD6795" w:rsidRDefault="00FB3423" w:rsidP="00FD6795">
      <w:pPr>
        <w:numPr>
          <w:ilvl w:val="0"/>
          <w:numId w:val="1"/>
        </w:numPr>
        <w:tabs>
          <w:tab w:val="clear" w:pos="360"/>
          <w:tab w:val="left" w:pos="864"/>
        </w:tabs>
        <w:spacing w:line="212" w:lineRule="exact"/>
        <w:ind w:left="864" w:right="216" w:hanging="360"/>
        <w:jc w:val="both"/>
        <w:textAlignment w:val="baseline"/>
        <w:rPr>
          <w:rFonts w:eastAsia="Times New Roman"/>
          <w:color w:val="000000"/>
          <w:spacing w:val="1"/>
        </w:rPr>
      </w:pPr>
      <w:r w:rsidRPr="00FD6795">
        <w:rPr>
          <w:rFonts w:eastAsia="Times New Roman"/>
          <w:color w:val="000000"/>
        </w:rPr>
        <w:t>Investing the estate's funds to maximize realizations until the ETDL's discharge or the funds are otherwise</w:t>
      </w:r>
      <w:r w:rsidR="00BE1355" w:rsidRPr="00FD6795">
        <w:rPr>
          <w:rFonts w:eastAsia="Times New Roman"/>
          <w:color w:val="000000"/>
        </w:rPr>
        <w:t xml:space="preserve"> d</w:t>
      </w:r>
      <w:r w:rsidRPr="00FD6795">
        <w:rPr>
          <w:rFonts w:eastAsia="Times New Roman"/>
          <w:color w:val="000000"/>
          <w:spacing w:val="1"/>
        </w:rPr>
        <w:t>istributed</w:t>
      </w:r>
      <w:r w:rsidR="00BE1355" w:rsidRPr="00FD6795">
        <w:rPr>
          <w:rFonts w:eastAsia="Times New Roman"/>
          <w:color w:val="000000"/>
          <w:spacing w:val="1"/>
        </w:rPr>
        <w:t>.</w:t>
      </w:r>
      <w:r w:rsidRPr="00FD6795">
        <w:rPr>
          <w:rFonts w:eastAsia="Times New Roman"/>
          <w:color w:val="000000"/>
          <w:spacing w:val="1"/>
        </w:rPr>
        <w:t xml:space="preserve"> </w:t>
      </w:r>
    </w:p>
    <w:p w14:paraId="5717F0AF" w14:textId="77777777" w:rsidR="00BE1355" w:rsidRPr="00FD6795" w:rsidRDefault="00FB3423" w:rsidP="00FD6795">
      <w:pPr>
        <w:tabs>
          <w:tab w:val="right" w:leader="dot" w:pos="5472"/>
        </w:tabs>
        <w:spacing w:before="549" w:line="321" w:lineRule="exact"/>
        <w:jc w:val="both"/>
        <w:textAlignment w:val="baseline"/>
      </w:pPr>
      <w:r w:rsidRPr="00FD6795">
        <w:br w:type="column"/>
      </w:r>
    </w:p>
    <w:p w14:paraId="5717F0B0" w14:textId="77777777" w:rsidR="00BE1355" w:rsidRPr="00FD6795" w:rsidRDefault="00BE1355" w:rsidP="00FD6795">
      <w:pPr>
        <w:tabs>
          <w:tab w:val="right" w:pos="5616"/>
        </w:tabs>
        <w:spacing w:line="218" w:lineRule="exact"/>
        <w:jc w:val="both"/>
        <w:textAlignment w:val="baseline"/>
        <w:rPr>
          <w:rFonts w:eastAsia="Times New Roman"/>
          <w:b/>
          <w:color w:val="000000"/>
        </w:rPr>
      </w:pPr>
    </w:p>
    <w:p w14:paraId="5717F0B1" w14:textId="77777777" w:rsidR="00662A3F" w:rsidRPr="00FD6795" w:rsidRDefault="00662A3F" w:rsidP="00FD6795">
      <w:pPr>
        <w:tabs>
          <w:tab w:val="right" w:pos="5616"/>
        </w:tabs>
        <w:spacing w:line="218" w:lineRule="exact"/>
        <w:jc w:val="both"/>
        <w:textAlignment w:val="baseline"/>
        <w:rPr>
          <w:rFonts w:eastAsia="Times New Roman"/>
          <w:b/>
          <w:color w:val="000000"/>
        </w:rPr>
      </w:pPr>
    </w:p>
    <w:p w14:paraId="5717F0B2" w14:textId="77777777" w:rsidR="00662A3F" w:rsidRPr="00FD6795" w:rsidRDefault="00662A3F" w:rsidP="00FD6795">
      <w:pPr>
        <w:tabs>
          <w:tab w:val="right" w:pos="5616"/>
        </w:tabs>
        <w:spacing w:line="218" w:lineRule="exact"/>
        <w:jc w:val="both"/>
        <w:textAlignment w:val="baseline"/>
        <w:rPr>
          <w:rFonts w:eastAsia="Times New Roman"/>
          <w:b/>
          <w:color w:val="000000"/>
        </w:rPr>
      </w:pPr>
    </w:p>
    <w:p w14:paraId="5717F0B3" w14:textId="77777777" w:rsidR="0018418D" w:rsidRPr="00FD6795" w:rsidRDefault="0018418D" w:rsidP="00FD6795">
      <w:pPr>
        <w:tabs>
          <w:tab w:val="right" w:pos="5616"/>
        </w:tabs>
        <w:spacing w:line="218" w:lineRule="exact"/>
        <w:jc w:val="both"/>
        <w:textAlignment w:val="baseline"/>
        <w:rPr>
          <w:rFonts w:eastAsia="Times New Roman"/>
          <w:b/>
          <w:color w:val="000000"/>
        </w:rPr>
      </w:pPr>
    </w:p>
    <w:p w14:paraId="5717F0B4" w14:textId="77777777" w:rsidR="0024071E" w:rsidRPr="00FD6795" w:rsidRDefault="00225B94" w:rsidP="00FD6795">
      <w:pPr>
        <w:tabs>
          <w:tab w:val="right" w:pos="5616"/>
        </w:tabs>
        <w:spacing w:line="218" w:lineRule="exact"/>
        <w:jc w:val="both"/>
        <w:textAlignment w:val="baseline"/>
        <w:rPr>
          <w:rFonts w:eastAsia="Times New Roman"/>
          <w:b/>
          <w:color w:val="000000"/>
        </w:rPr>
      </w:pPr>
      <w:r w:rsidRPr="00FD6795">
        <w:rPr>
          <w:rFonts w:eastAsia="Times New Roman"/>
          <w:b/>
          <w:color w:val="000000"/>
        </w:rPr>
        <w:t>Zeifmans ETDL Experience and Skill Set</w:t>
      </w:r>
      <w:r w:rsidR="00FB3423" w:rsidRPr="00FD6795">
        <w:rPr>
          <w:rFonts w:eastAsia="Times New Roman"/>
          <w:b/>
          <w:color w:val="000000"/>
        </w:rPr>
        <w:tab/>
        <w:t xml:space="preserve"> </w:t>
      </w:r>
    </w:p>
    <w:p w14:paraId="5717F0B5" w14:textId="77777777" w:rsidR="00225B94" w:rsidRPr="00FD6795" w:rsidRDefault="00225B94" w:rsidP="00FD6795">
      <w:pPr>
        <w:spacing w:before="205" w:line="213" w:lineRule="exact"/>
        <w:ind w:right="288"/>
        <w:jc w:val="both"/>
        <w:textAlignment w:val="baseline"/>
        <w:rPr>
          <w:rFonts w:eastAsia="Times New Roman"/>
          <w:color w:val="000000"/>
        </w:rPr>
      </w:pPr>
      <w:r w:rsidRPr="00FD6795">
        <w:rPr>
          <w:rFonts w:eastAsia="Times New Roman"/>
          <w:color w:val="000000"/>
        </w:rPr>
        <w:t>Ze</w:t>
      </w:r>
      <w:r w:rsidR="00BE1355" w:rsidRPr="00FD6795">
        <w:rPr>
          <w:rFonts w:eastAsia="Times New Roman"/>
          <w:color w:val="000000"/>
        </w:rPr>
        <w:t>ifmans professionals have many y</w:t>
      </w:r>
      <w:r w:rsidRPr="00FD6795">
        <w:rPr>
          <w:rFonts w:eastAsia="Times New Roman"/>
          <w:color w:val="000000"/>
        </w:rPr>
        <w:t>ears of experience in acting in Court Appointments,</w:t>
      </w:r>
      <w:r w:rsidR="00BE1355" w:rsidRPr="00FD6795">
        <w:rPr>
          <w:rFonts w:eastAsia="Times New Roman"/>
          <w:color w:val="000000"/>
        </w:rPr>
        <w:t xml:space="preserve"> </w:t>
      </w:r>
      <w:r w:rsidRPr="00FD6795">
        <w:rPr>
          <w:rFonts w:eastAsia="Times New Roman"/>
          <w:color w:val="000000"/>
        </w:rPr>
        <w:t>including Court reporting,</w:t>
      </w:r>
      <w:r w:rsidR="00AF4CBE" w:rsidRPr="00FD6795">
        <w:rPr>
          <w:rFonts w:eastAsia="Times New Roman"/>
          <w:color w:val="000000"/>
        </w:rPr>
        <w:t xml:space="preserve"> </w:t>
      </w:r>
      <w:r w:rsidRPr="00FD6795">
        <w:rPr>
          <w:rFonts w:eastAsia="Times New Roman"/>
          <w:color w:val="000000"/>
        </w:rPr>
        <w:t xml:space="preserve">the conduct of investigative review of previous </w:t>
      </w:r>
      <w:r w:rsidR="00AF4CBE" w:rsidRPr="00FD6795">
        <w:rPr>
          <w:rFonts w:eastAsia="Times New Roman"/>
          <w:color w:val="000000"/>
        </w:rPr>
        <w:t>transactions</w:t>
      </w:r>
      <w:r w:rsidRPr="00FD6795">
        <w:rPr>
          <w:rFonts w:eastAsia="Times New Roman"/>
          <w:color w:val="000000"/>
        </w:rPr>
        <w:t>,</w:t>
      </w:r>
      <w:r w:rsidR="00AF4CBE" w:rsidRPr="00FD6795">
        <w:rPr>
          <w:rFonts w:eastAsia="Times New Roman"/>
          <w:color w:val="000000"/>
        </w:rPr>
        <w:t xml:space="preserve"> </w:t>
      </w:r>
      <w:r w:rsidRPr="00FD6795">
        <w:rPr>
          <w:rFonts w:eastAsia="Times New Roman"/>
          <w:color w:val="000000"/>
        </w:rPr>
        <w:t>asset recovery and optimizing the sale of estate assets.</w:t>
      </w:r>
    </w:p>
    <w:p w14:paraId="5717F0B6" w14:textId="77777777" w:rsidR="0024071E" w:rsidRPr="00FD6795" w:rsidRDefault="00FB3423" w:rsidP="00FD6795">
      <w:pPr>
        <w:spacing w:before="205" w:line="213" w:lineRule="exact"/>
        <w:ind w:right="288"/>
        <w:jc w:val="both"/>
        <w:textAlignment w:val="baseline"/>
        <w:rPr>
          <w:rFonts w:eastAsia="Times New Roman"/>
          <w:color w:val="000000"/>
        </w:rPr>
      </w:pPr>
      <w:r w:rsidRPr="00FD6795">
        <w:rPr>
          <w:rFonts w:eastAsia="Times New Roman"/>
          <w:color w:val="000000"/>
        </w:rPr>
        <w:t>Unlike institutional trustees</w:t>
      </w:r>
      <w:r w:rsidR="00BE1355" w:rsidRPr="00FD6795">
        <w:rPr>
          <w:rFonts w:eastAsia="Times New Roman"/>
          <w:color w:val="000000"/>
        </w:rPr>
        <w:t>,</w:t>
      </w:r>
      <w:r w:rsidRPr="00FD6795">
        <w:rPr>
          <w:rFonts w:eastAsia="Times New Roman"/>
          <w:color w:val="000000"/>
        </w:rPr>
        <w:t xml:space="preserve"> such as trust companies, or even lawyers who also often serve as court-appointed ETDL</w:t>
      </w:r>
      <w:r w:rsidR="00AF4CBE" w:rsidRPr="00FD6795">
        <w:rPr>
          <w:rFonts w:eastAsia="Times New Roman"/>
          <w:color w:val="000000"/>
        </w:rPr>
        <w:t>’</w:t>
      </w:r>
      <w:r w:rsidRPr="00FD6795">
        <w:rPr>
          <w:rFonts w:eastAsia="Times New Roman"/>
          <w:color w:val="000000"/>
        </w:rPr>
        <w:t xml:space="preserve">s, </w:t>
      </w:r>
      <w:r w:rsidR="00225B94" w:rsidRPr="00FD6795">
        <w:rPr>
          <w:rFonts w:eastAsia="Times New Roman"/>
          <w:color w:val="000000"/>
        </w:rPr>
        <w:t>Zeifmans is a full service professional firm with skilled resources in tax</w:t>
      </w:r>
      <w:r w:rsidR="00BE1355" w:rsidRPr="00FD6795">
        <w:rPr>
          <w:rFonts w:eastAsia="Times New Roman"/>
          <w:color w:val="000000"/>
        </w:rPr>
        <w:t xml:space="preserve"> </w:t>
      </w:r>
      <w:r w:rsidR="00225B94" w:rsidRPr="00FD6795">
        <w:rPr>
          <w:rFonts w:eastAsia="Times New Roman"/>
          <w:color w:val="000000"/>
        </w:rPr>
        <w:t>mergers and acquisition,</w:t>
      </w:r>
      <w:r w:rsidR="00AF4CBE" w:rsidRPr="00FD6795">
        <w:rPr>
          <w:rFonts w:eastAsia="Times New Roman"/>
          <w:color w:val="000000"/>
        </w:rPr>
        <w:t xml:space="preserve"> </w:t>
      </w:r>
      <w:r w:rsidR="00225B94" w:rsidRPr="00FD6795">
        <w:rPr>
          <w:rFonts w:eastAsia="Times New Roman"/>
          <w:color w:val="000000"/>
        </w:rPr>
        <w:t>valuations</w:t>
      </w:r>
      <w:r w:rsidR="00AF4CBE" w:rsidRPr="00FD6795">
        <w:rPr>
          <w:rFonts w:eastAsia="Times New Roman"/>
          <w:color w:val="000000"/>
        </w:rPr>
        <w:t xml:space="preserve"> </w:t>
      </w:r>
      <w:r w:rsidR="00225B94" w:rsidRPr="00FD6795">
        <w:rPr>
          <w:rFonts w:eastAsia="Times New Roman"/>
          <w:color w:val="000000"/>
        </w:rPr>
        <w:t xml:space="preserve">and </w:t>
      </w:r>
      <w:r w:rsidR="0018418D" w:rsidRPr="00FD6795">
        <w:rPr>
          <w:rFonts w:eastAsia="Times New Roman"/>
          <w:color w:val="000000"/>
        </w:rPr>
        <w:t>accounting.</w:t>
      </w:r>
    </w:p>
    <w:p w14:paraId="5717F0B7" w14:textId="77777777" w:rsidR="00225B94" w:rsidRPr="00FD6795" w:rsidRDefault="00225B94" w:rsidP="00FD6795">
      <w:pPr>
        <w:spacing w:before="205" w:line="213" w:lineRule="exact"/>
        <w:ind w:right="288"/>
        <w:jc w:val="both"/>
        <w:textAlignment w:val="baseline"/>
        <w:rPr>
          <w:rFonts w:eastAsia="Times New Roman"/>
          <w:color w:val="000000"/>
        </w:rPr>
      </w:pPr>
      <w:r w:rsidRPr="00FD6795">
        <w:rPr>
          <w:rFonts w:eastAsia="Times New Roman"/>
          <w:color w:val="000000"/>
        </w:rPr>
        <w:t>Our experience as ETDL has included,</w:t>
      </w:r>
      <w:r w:rsidR="00BE1355" w:rsidRPr="00FD6795">
        <w:rPr>
          <w:rFonts w:eastAsia="Times New Roman"/>
          <w:color w:val="000000"/>
        </w:rPr>
        <w:t xml:space="preserve"> </w:t>
      </w:r>
      <w:r w:rsidRPr="00FD6795">
        <w:rPr>
          <w:rFonts w:eastAsia="Times New Roman"/>
          <w:color w:val="000000"/>
        </w:rPr>
        <w:t>recovery and sale of estate assets;</w:t>
      </w:r>
      <w:r w:rsidR="00BE1355" w:rsidRPr="00FD6795">
        <w:rPr>
          <w:rFonts w:eastAsia="Times New Roman"/>
          <w:color w:val="000000"/>
        </w:rPr>
        <w:t xml:space="preserve"> </w:t>
      </w:r>
      <w:r w:rsidRPr="00FD6795">
        <w:rPr>
          <w:rFonts w:eastAsia="Times New Roman"/>
          <w:color w:val="000000"/>
        </w:rPr>
        <w:t xml:space="preserve">forensic transactional reviews </w:t>
      </w:r>
      <w:r w:rsidR="00920D05" w:rsidRPr="00FD6795">
        <w:rPr>
          <w:rFonts w:eastAsia="Times New Roman"/>
          <w:color w:val="000000"/>
        </w:rPr>
        <w:t>and acting as a mediator.</w:t>
      </w:r>
    </w:p>
    <w:p w14:paraId="5717F0B8" w14:textId="77777777" w:rsidR="00920D05" w:rsidRPr="00FD6795" w:rsidRDefault="00920D05" w:rsidP="00FD6795">
      <w:pPr>
        <w:spacing w:before="231" w:line="220" w:lineRule="exact"/>
        <w:ind w:right="576"/>
        <w:jc w:val="both"/>
        <w:textAlignment w:val="baseline"/>
        <w:rPr>
          <w:rFonts w:eastAsia="Times New Roman"/>
          <w:color w:val="000000"/>
        </w:rPr>
      </w:pPr>
      <w:r w:rsidRPr="00FD6795">
        <w:rPr>
          <w:rFonts w:eastAsia="Times New Roman"/>
          <w:color w:val="000000"/>
        </w:rPr>
        <w:t>We endeavor to act in a professional and impartial manner s</w:t>
      </w:r>
      <w:r w:rsidR="00BE1355" w:rsidRPr="00FD6795">
        <w:rPr>
          <w:rFonts w:eastAsia="Times New Roman"/>
          <w:color w:val="000000"/>
        </w:rPr>
        <w:t>e</w:t>
      </w:r>
      <w:r w:rsidRPr="00FD6795">
        <w:rPr>
          <w:rFonts w:eastAsia="Times New Roman"/>
          <w:color w:val="000000"/>
        </w:rPr>
        <w:t>rving the interest of all parties and their counsel.</w:t>
      </w:r>
    </w:p>
    <w:p w14:paraId="5717F0B9" w14:textId="77777777" w:rsidR="0024071E" w:rsidRPr="00FD6795" w:rsidRDefault="00920D05" w:rsidP="00FD6795">
      <w:pPr>
        <w:spacing w:before="231" w:line="220" w:lineRule="exact"/>
        <w:ind w:right="576"/>
        <w:jc w:val="both"/>
        <w:textAlignment w:val="baseline"/>
        <w:rPr>
          <w:rFonts w:eastAsia="Times New Roman"/>
          <w:color w:val="000000"/>
        </w:rPr>
      </w:pPr>
      <w:r w:rsidRPr="00FD6795">
        <w:rPr>
          <w:rFonts w:eastAsia="Times New Roman"/>
          <w:color w:val="000000"/>
        </w:rPr>
        <w:t>Our reputation with the Court and Counsel is based on those principals</w:t>
      </w:r>
      <w:r w:rsidR="00BE1355" w:rsidRPr="00FD6795">
        <w:rPr>
          <w:rFonts w:eastAsia="Times New Roman"/>
          <w:color w:val="000000"/>
        </w:rPr>
        <w:t>.</w:t>
      </w:r>
    </w:p>
    <w:p w14:paraId="5717F0BA" w14:textId="77777777" w:rsidR="0024071E" w:rsidRPr="00FD6795" w:rsidRDefault="0024071E"/>
    <w:p w14:paraId="5717F0BB" w14:textId="77777777" w:rsidR="00B5566B" w:rsidRPr="00FD6795" w:rsidRDefault="00B5566B"/>
    <w:p w14:paraId="5717F0BC" w14:textId="77777777" w:rsidR="00B5566B" w:rsidRPr="00FD6795" w:rsidRDefault="00B5566B"/>
    <w:p w14:paraId="5717F0BD" w14:textId="77777777" w:rsidR="00B5566B" w:rsidRPr="00FD6795" w:rsidRDefault="00B5566B"/>
    <w:p w14:paraId="5717F0BE" w14:textId="77777777" w:rsidR="00B5566B" w:rsidRPr="00FD6795" w:rsidRDefault="00B5566B"/>
    <w:p w14:paraId="5717F0BF" w14:textId="77777777" w:rsidR="00B5566B" w:rsidRPr="00FD6795" w:rsidRDefault="00B5566B"/>
    <w:p w14:paraId="5717F0C0" w14:textId="77777777" w:rsidR="00B5566B" w:rsidRPr="00FD6795" w:rsidRDefault="00B5566B"/>
    <w:p w14:paraId="5717F0C1" w14:textId="77777777" w:rsidR="00B5566B" w:rsidRPr="00FD6795" w:rsidRDefault="00B5566B"/>
    <w:p w14:paraId="5717F0C2" w14:textId="77777777" w:rsidR="00B5566B" w:rsidRPr="00FD6795" w:rsidRDefault="00B5566B"/>
    <w:p w14:paraId="5717F0C3" w14:textId="77777777" w:rsidR="00B5566B" w:rsidRPr="00FD6795" w:rsidRDefault="00B5566B"/>
    <w:p w14:paraId="5717F0C4" w14:textId="77777777" w:rsidR="00B5566B" w:rsidRPr="00FD6795" w:rsidRDefault="00B5566B"/>
    <w:p w14:paraId="5717F0C5" w14:textId="77777777" w:rsidR="00B5566B" w:rsidRPr="00FD6795" w:rsidRDefault="00B5566B"/>
    <w:p w14:paraId="5717F0C6" w14:textId="77777777" w:rsidR="00662A3F" w:rsidRPr="00FD6795" w:rsidRDefault="00662A3F"/>
    <w:p w14:paraId="5717F0C7" w14:textId="77777777" w:rsidR="00D50B7B" w:rsidRPr="00FD6795" w:rsidRDefault="00D50B7B"/>
    <w:p w14:paraId="5717F0C8" w14:textId="77777777" w:rsidR="00D50B7B" w:rsidRPr="00FD6795" w:rsidRDefault="00D50B7B"/>
    <w:p w14:paraId="5717F0C9" w14:textId="77777777" w:rsidR="00E54B96" w:rsidRPr="00FD6795" w:rsidRDefault="00E54B96">
      <w:pPr>
        <w:sectPr w:rsidR="00E54B96" w:rsidRPr="00FD6795" w:rsidSect="00FD6795">
          <w:headerReference w:type="default" r:id="rId7"/>
          <w:footerReference w:type="default" r:id="rId8"/>
          <w:type w:val="continuous"/>
          <w:pgSz w:w="11990" w:h="15946"/>
          <w:pgMar w:top="1440" w:right="720" w:bottom="1440" w:left="720" w:header="720" w:footer="720" w:gutter="0"/>
          <w:cols w:num="2" w:space="540" w:equalWidth="0">
            <w:col w:w="5366" w:space="140"/>
            <w:col w:w="5044" w:space="0"/>
          </w:cols>
        </w:sectPr>
      </w:pPr>
    </w:p>
    <w:p w14:paraId="5717F0CA" w14:textId="77777777" w:rsidR="00D50B7B" w:rsidRPr="00FD6795" w:rsidRDefault="00D50B7B"/>
    <w:p w14:paraId="5717F0CB" w14:textId="77777777" w:rsidR="00662A3F" w:rsidRPr="00FD6795" w:rsidRDefault="00662A3F" w:rsidP="00662A3F">
      <w:pPr>
        <w:spacing w:line="229" w:lineRule="exact"/>
        <w:textAlignment w:val="baseline"/>
        <w:rPr>
          <w:rFonts w:eastAsia="Times New Roman"/>
          <w:b/>
          <w:color w:val="000000"/>
          <w:spacing w:val="2"/>
        </w:rPr>
      </w:pPr>
      <w:r w:rsidRPr="00FD6795">
        <w:rPr>
          <w:rFonts w:eastAsia="Times New Roman"/>
          <w:b/>
          <w:color w:val="000000"/>
          <w:spacing w:val="2"/>
        </w:rPr>
        <w:t>ABOUT ZEIFMANS LLP</w:t>
      </w:r>
    </w:p>
    <w:p w14:paraId="5717F0CC" w14:textId="77777777" w:rsidR="00662A3F" w:rsidRPr="00FD6795" w:rsidRDefault="00662A3F" w:rsidP="00662A3F">
      <w:pPr>
        <w:pStyle w:val="NormalWeb"/>
        <w:shd w:val="clear" w:color="auto" w:fill="F6FBFA"/>
        <w:rPr>
          <w:sz w:val="22"/>
          <w:szCs w:val="22"/>
        </w:rPr>
      </w:pPr>
      <w:r w:rsidRPr="00FD6795">
        <w:rPr>
          <w:sz w:val="22"/>
          <w:szCs w:val="22"/>
        </w:rPr>
        <w:t>Zeifmans is a full-service tax, accounting and consulting firm based in Toronto, Canada, ranked as one of Canada’s top 20 firms by revenue. Beyond the traditional offering, our services include business advisory, valuation, corporate finance, transaction services, corporate turnaround and insolvency, and estate and succession planning, supporting our 9,000+ clients through every step of the business life cycle.</w:t>
      </w:r>
    </w:p>
    <w:p w14:paraId="5717F0CD" w14:textId="77777777" w:rsidR="00662A3F" w:rsidRPr="00FD6795" w:rsidRDefault="00662A3F" w:rsidP="00662A3F">
      <w:pPr>
        <w:pStyle w:val="NormalWeb"/>
        <w:shd w:val="clear" w:color="auto" w:fill="F6FBFA"/>
        <w:rPr>
          <w:sz w:val="22"/>
          <w:szCs w:val="22"/>
        </w:rPr>
      </w:pPr>
      <w:r w:rsidRPr="00FD6795">
        <w:rPr>
          <w:sz w:val="22"/>
          <w:szCs w:val="22"/>
        </w:rPr>
        <w:t>Since 1959, Zeifmans has been developing innovative solutions driven by creative insight. Nearly 60 years later, our diverse local team has grown to over 130 team members, while our membership with Nexia International – one of the world’s top ten accounting and consulting networks – provides access to a global team of 2,500+ partners spanning more than 115 countries. Over 4,000 of our clients are private companies – many having been with us for more than a generation; proof that our connection with our clients remains a trusted long-term relationship based on the common goal of business growth and success.</w:t>
      </w:r>
    </w:p>
    <w:p w14:paraId="5717F0CE" w14:textId="77777777" w:rsidR="00662A3F" w:rsidRPr="00FD6795" w:rsidRDefault="00662A3F" w:rsidP="00662A3F">
      <w:pPr>
        <w:pStyle w:val="NormalWeb"/>
        <w:shd w:val="clear" w:color="auto" w:fill="F6FBFA"/>
        <w:rPr>
          <w:sz w:val="22"/>
          <w:szCs w:val="22"/>
        </w:rPr>
      </w:pPr>
      <w:r w:rsidRPr="00FD6795">
        <w:rPr>
          <w:sz w:val="22"/>
          <w:szCs w:val="22"/>
        </w:rPr>
        <w:t xml:space="preserve">You want a tax, accounting, and consulting partner who understands your needs and the full range of solutions available. One who works within the rules to make the rules work for you. Who gives you straightforward, intelligent advice that consistently adds to your bottom </w:t>
      </w:r>
      <w:r w:rsidR="0018418D" w:rsidRPr="00FD6795">
        <w:rPr>
          <w:sz w:val="22"/>
          <w:szCs w:val="22"/>
        </w:rPr>
        <w:t>line?</w:t>
      </w:r>
      <w:r w:rsidRPr="00FD6795">
        <w:rPr>
          <w:sz w:val="22"/>
          <w:szCs w:val="22"/>
        </w:rPr>
        <w:t xml:space="preserve"> Great ideas. Positive impact. That’s Zeifmans.</w:t>
      </w:r>
    </w:p>
    <w:p w14:paraId="5717F0CF" w14:textId="77777777" w:rsidR="00662A3F" w:rsidRPr="00FD6795" w:rsidRDefault="00662A3F" w:rsidP="00662A3F">
      <w:pPr>
        <w:spacing w:before="221" w:line="232" w:lineRule="exact"/>
        <w:textAlignment w:val="baseline"/>
        <w:rPr>
          <w:rFonts w:eastAsia="Times New Roman"/>
          <w:color w:val="000000"/>
          <w:spacing w:val="1"/>
        </w:rPr>
      </w:pPr>
      <w:r w:rsidRPr="00FD6795">
        <w:rPr>
          <w:rFonts w:eastAsia="Times New Roman"/>
          <w:color w:val="000000"/>
          <w:spacing w:val="1"/>
        </w:rPr>
        <w:t>For more information on our ETDL services, call our office today.</w:t>
      </w:r>
    </w:p>
    <w:p w14:paraId="5717F0D0" w14:textId="77777777" w:rsidR="00B5566B" w:rsidRPr="00FD6795" w:rsidRDefault="00B5566B"/>
    <w:p w14:paraId="5717F0D1" w14:textId="77777777" w:rsidR="00B5566B" w:rsidRPr="00FD6795" w:rsidRDefault="00B5566B"/>
    <w:p w14:paraId="5717F0D2" w14:textId="77777777" w:rsidR="00662A3F" w:rsidRPr="00FD6795" w:rsidRDefault="00662A3F"/>
    <w:p w14:paraId="5717F0D3" w14:textId="77777777" w:rsidR="006938CA" w:rsidRPr="00FD6795" w:rsidRDefault="006938CA" w:rsidP="006938CA">
      <w:pPr>
        <w:spacing w:before="221" w:line="232" w:lineRule="exact"/>
        <w:textAlignment w:val="baseline"/>
        <w:rPr>
          <w:rFonts w:eastAsia="Times New Roman"/>
          <w:color w:val="000000"/>
          <w:spacing w:val="1"/>
        </w:rPr>
      </w:pPr>
    </w:p>
    <w:p w14:paraId="5717F0D4" w14:textId="77777777" w:rsidR="0024071E" w:rsidRPr="00FD6795" w:rsidRDefault="0024071E">
      <w:pPr>
        <w:spacing w:before="318" w:after="3456" w:line="325" w:lineRule="exact"/>
        <w:sectPr w:rsidR="0024071E" w:rsidRPr="00FD6795" w:rsidSect="00FD6795">
          <w:pgSz w:w="11990" w:h="15907"/>
          <w:pgMar w:top="864" w:right="864" w:bottom="245" w:left="864" w:header="720" w:footer="720" w:gutter="0"/>
          <w:cols w:space="720"/>
        </w:sectPr>
      </w:pPr>
    </w:p>
    <w:p w14:paraId="5717F0D5" w14:textId="77777777" w:rsidR="0024071E" w:rsidRPr="00FD6795" w:rsidRDefault="0024071E">
      <w:pPr>
        <w:textAlignment w:val="baseline"/>
      </w:pPr>
    </w:p>
    <w:sectPr w:rsidR="0024071E" w:rsidRPr="00FD6795">
      <w:type w:val="continuous"/>
      <w:pgSz w:w="11990" w:h="15907"/>
      <w:pgMar w:top="86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C82F" w14:textId="77777777" w:rsidR="00BD7B31" w:rsidRDefault="00BD7B31" w:rsidP="00BD7B31">
      <w:r>
        <w:separator/>
      </w:r>
    </w:p>
  </w:endnote>
  <w:endnote w:type="continuationSeparator" w:id="0">
    <w:p w14:paraId="7497A962" w14:textId="77777777" w:rsidR="00BD7B31" w:rsidRDefault="00BD7B31" w:rsidP="00BD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Garamond">
    <w:charset w:val="00"/>
    <w:pitch w:val="variable"/>
    <w:family w:val="roman"/>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62CF9" w14:textId="7F67B431" w:rsidR="00BD7B31" w:rsidRDefault="00BD7B31">
    <w:pPr>
      <w:pStyle w:val="Footer"/>
    </w:pPr>
    <w:r>
      <w:rPr>
        <w:noProof/>
      </w:rPr>
      <w:drawing>
        <wp:inline distT="0" distB="0" distL="0" distR="0" wp14:anchorId="4878CA9D" wp14:editId="5C07636C">
          <wp:extent cx="6666667" cy="952381"/>
          <wp:effectExtent l="0" t="0" r="1270" b="635"/>
          <wp:docPr id="1659616561" name="Picture 2"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616561" name="Picture 2"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6666667" cy="9523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4D57" w14:textId="77777777" w:rsidR="00BD7B31" w:rsidRDefault="00BD7B31" w:rsidP="00BD7B31">
      <w:r>
        <w:separator/>
      </w:r>
    </w:p>
  </w:footnote>
  <w:footnote w:type="continuationSeparator" w:id="0">
    <w:p w14:paraId="7129307F" w14:textId="77777777" w:rsidR="00BD7B31" w:rsidRDefault="00BD7B31" w:rsidP="00BD7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481B" w14:textId="7D93962D" w:rsidR="00BD7B31" w:rsidRDefault="00BD7B31">
    <w:pPr>
      <w:pStyle w:val="Header"/>
    </w:pPr>
    <w:r>
      <w:rPr>
        <w:noProof/>
      </w:rPr>
      <w:drawing>
        <wp:inline distT="0" distB="0" distL="0" distR="0" wp14:anchorId="21F52566" wp14:editId="3835C77F">
          <wp:extent cx="4686300" cy="1171575"/>
          <wp:effectExtent l="0" t="0" r="0" b="9525"/>
          <wp:docPr id="1547332459" name="Picture 1" descr="A picture containing text, font, screensho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332459" name="Picture 1" descr="A picture containing text, font, screensho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94856" cy="11737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E01C4"/>
    <w:multiLevelType w:val="multilevel"/>
    <w:tmpl w:val="DED8B906"/>
    <w:lvl w:ilvl="0">
      <w:start w:val="1"/>
      <w:numFmt w:val="bullet"/>
      <w:lvlText w:val="·"/>
      <w:lvlJc w:val="left"/>
      <w:pPr>
        <w:tabs>
          <w:tab w:val="left" w:pos="360"/>
        </w:tabs>
        <w:ind w:left="720"/>
      </w:pPr>
      <w:rPr>
        <w:rFonts w:ascii="Symbol" w:eastAsia="Symbol" w:hAnsi="Symbol"/>
        <w:strike w:val="0"/>
        <w:color w:val="000000"/>
        <w:spacing w:val="2"/>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6066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71E"/>
    <w:rsid w:val="0018418D"/>
    <w:rsid w:val="00225B94"/>
    <w:rsid w:val="0024071E"/>
    <w:rsid w:val="00494A04"/>
    <w:rsid w:val="005D3D71"/>
    <w:rsid w:val="006365F0"/>
    <w:rsid w:val="00662A3F"/>
    <w:rsid w:val="006938CA"/>
    <w:rsid w:val="008242AF"/>
    <w:rsid w:val="00920D05"/>
    <w:rsid w:val="00987A5E"/>
    <w:rsid w:val="00AF4CBE"/>
    <w:rsid w:val="00B11F47"/>
    <w:rsid w:val="00B5566B"/>
    <w:rsid w:val="00BB1B78"/>
    <w:rsid w:val="00BD7B31"/>
    <w:rsid w:val="00BE1355"/>
    <w:rsid w:val="00C36979"/>
    <w:rsid w:val="00CD6116"/>
    <w:rsid w:val="00D50B7B"/>
    <w:rsid w:val="00D824CE"/>
    <w:rsid w:val="00E54B96"/>
    <w:rsid w:val="00EC367B"/>
    <w:rsid w:val="00FB3423"/>
    <w:rsid w:val="00FD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17F0A2"/>
  <w15:docId w15:val="{499C9D16-A739-48BB-91CE-E154F061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B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B94"/>
    <w:rPr>
      <w:rFonts w:ascii="Segoe UI" w:hAnsi="Segoe UI" w:cs="Segoe UI"/>
      <w:sz w:val="18"/>
      <w:szCs w:val="18"/>
    </w:rPr>
  </w:style>
  <w:style w:type="character" w:styleId="Hyperlink">
    <w:name w:val="Hyperlink"/>
    <w:basedOn w:val="DefaultParagraphFont"/>
    <w:uiPriority w:val="99"/>
    <w:semiHidden/>
    <w:unhideWhenUsed/>
    <w:rsid w:val="00BB1B78"/>
    <w:rPr>
      <w:color w:val="0000FF"/>
      <w:u w:val="single"/>
    </w:rPr>
  </w:style>
  <w:style w:type="paragraph" w:styleId="NormalWeb">
    <w:name w:val="Normal (Web)"/>
    <w:basedOn w:val="Normal"/>
    <w:uiPriority w:val="99"/>
    <w:semiHidden/>
    <w:unhideWhenUsed/>
    <w:rsid w:val="00494A04"/>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494A04"/>
    <w:rPr>
      <w:b/>
      <w:bCs/>
    </w:rPr>
  </w:style>
  <w:style w:type="paragraph" w:styleId="Header">
    <w:name w:val="header"/>
    <w:basedOn w:val="Normal"/>
    <w:link w:val="HeaderChar"/>
    <w:uiPriority w:val="99"/>
    <w:unhideWhenUsed/>
    <w:rsid w:val="00BD7B31"/>
    <w:pPr>
      <w:tabs>
        <w:tab w:val="center" w:pos="4680"/>
        <w:tab w:val="right" w:pos="9360"/>
      </w:tabs>
    </w:pPr>
  </w:style>
  <w:style w:type="character" w:customStyle="1" w:styleId="HeaderChar">
    <w:name w:val="Header Char"/>
    <w:basedOn w:val="DefaultParagraphFont"/>
    <w:link w:val="Header"/>
    <w:uiPriority w:val="99"/>
    <w:rsid w:val="00BD7B31"/>
  </w:style>
  <w:style w:type="paragraph" w:styleId="Footer">
    <w:name w:val="footer"/>
    <w:basedOn w:val="Normal"/>
    <w:link w:val="FooterChar"/>
    <w:uiPriority w:val="99"/>
    <w:unhideWhenUsed/>
    <w:rsid w:val="00BD7B31"/>
    <w:pPr>
      <w:tabs>
        <w:tab w:val="center" w:pos="4680"/>
        <w:tab w:val="right" w:pos="9360"/>
      </w:tabs>
    </w:pPr>
  </w:style>
  <w:style w:type="character" w:customStyle="1" w:styleId="FooterChar">
    <w:name w:val="Footer Char"/>
    <w:basedOn w:val="DefaultParagraphFont"/>
    <w:link w:val="Footer"/>
    <w:uiPriority w:val="99"/>
    <w:rsid w:val="00BD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86707">
      <w:bodyDiv w:val="1"/>
      <w:marLeft w:val="0"/>
      <w:marRight w:val="0"/>
      <w:marTop w:val="0"/>
      <w:marBottom w:val="0"/>
      <w:divBdr>
        <w:top w:val="none" w:sz="0" w:space="0" w:color="auto"/>
        <w:left w:val="none" w:sz="0" w:space="0" w:color="auto"/>
        <w:bottom w:val="none" w:sz="0" w:space="0" w:color="auto"/>
        <w:right w:val="none" w:sz="0" w:space="0" w:color="auto"/>
      </w:divBdr>
    </w:div>
    <w:div w:id="80485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Zeifmans LLP Chartered Accountants</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 DaSilva</dc:creator>
  <cp:lastModifiedBy>Monika Lal</cp:lastModifiedBy>
  <cp:revision>2</cp:revision>
  <dcterms:created xsi:type="dcterms:W3CDTF">2023-05-18T13:55:00Z</dcterms:created>
  <dcterms:modified xsi:type="dcterms:W3CDTF">2023-05-18T13:55:00Z</dcterms:modified>
</cp:coreProperties>
</file>